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31DFD" w14:textId="2E6C0CA1" w:rsidR="00B13139" w:rsidRPr="00AF6A50" w:rsidRDefault="00B13139">
      <w:pPr>
        <w:rPr>
          <w:rFonts w:ascii="Times New Roman" w:hAnsi="Times New Roman" w:cs="Times New Roman"/>
          <w:sz w:val="22"/>
          <w:szCs w:val="22"/>
        </w:rPr>
      </w:pPr>
      <w:r w:rsidRPr="00AF6A50">
        <w:rPr>
          <w:rFonts w:ascii="Times New Roman" w:hAnsi="Times New Roman" w:cs="Times New Roman"/>
          <w:sz w:val="22"/>
          <w:szCs w:val="22"/>
        </w:rPr>
        <w:t>Gautas tiekėjo paklausimas</w:t>
      </w:r>
      <w:r w:rsidR="00C84D0C" w:rsidRPr="00AF6A50">
        <w:rPr>
          <w:rFonts w:ascii="Times New Roman" w:hAnsi="Times New Roman" w:cs="Times New Roman"/>
          <w:sz w:val="22"/>
          <w:szCs w:val="22"/>
        </w:rPr>
        <w:t>. Teikiame atsakymus.</w:t>
      </w:r>
    </w:p>
    <w:p w14:paraId="63CB2359" w14:textId="77777777" w:rsidR="00C84D0C" w:rsidRPr="00AF6A50" w:rsidRDefault="00C84D0C">
      <w:pPr>
        <w:rPr>
          <w:rFonts w:ascii="Times New Roman" w:hAnsi="Times New Roman" w:cs="Times New Roman"/>
          <w:sz w:val="22"/>
          <w:szCs w:val="22"/>
        </w:rPr>
      </w:pPr>
    </w:p>
    <w:tbl>
      <w:tblPr>
        <w:tblStyle w:val="TableGrid"/>
        <w:tblW w:w="9776" w:type="dxa"/>
        <w:tblLook w:val="04A0" w:firstRow="1" w:lastRow="0" w:firstColumn="1" w:lastColumn="0" w:noHBand="0" w:noVBand="1"/>
      </w:tblPr>
      <w:tblGrid>
        <w:gridCol w:w="4248"/>
        <w:gridCol w:w="5528"/>
      </w:tblGrid>
      <w:tr w:rsidR="001741A1" w:rsidRPr="00AF6A50" w14:paraId="1B3B9B48" w14:textId="77777777" w:rsidTr="00C84D0C">
        <w:tc>
          <w:tcPr>
            <w:tcW w:w="4248" w:type="dxa"/>
          </w:tcPr>
          <w:p w14:paraId="45724781" w14:textId="77777777" w:rsidR="007B2FF7" w:rsidRPr="00AF6A50" w:rsidRDefault="007B2FF7" w:rsidP="001741A1">
            <w:pPr>
              <w:tabs>
                <w:tab w:val="left" w:pos="601"/>
              </w:tabs>
              <w:rPr>
                <w:rFonts w:ascii="Times New Roman" w:hAnsi="Times New Roman" w:cs="Times New Roman"/>
                <w:b/>
                <w:bCs/>
                <w:sz w:val="22"/>
                <w:szCs w:val="22"/>
              </w:rPr>
            </w:pPr>
            <w:r w:rsidRPr="00AF6A50">
              <w:rPr>
                <w:rFonts w:ascii="Times New Roman" w:hAnsi="Times New Roman" w:cs="Times New Roman"/>
                <w:b/>
                <w:bCs/>
                <w:sz w:val="22"/>
                <w:szCs w:val="22"/>
              </w:rPr>
              <w:t>Tiekėjo klausimas</w:t>
            </w:r>
          </w:p>
        </w:tc>
        <w:tc>
          <w:tcPr>
            <w:tcW w:w="5528" w:type="dxa"/>
          </w:tcPr>
          <w:p w14:paraId="4C2DFC79" w14:textId="77777777" w:rsidR="007B2FF7" w:rsidRPr="00AF6A50" w:rsidRDefault="007B2FF7">
            <w:pPr>
              <w:rPr>
                <w:rFonts w:ascii="Times New Roman" w:hAnsi="Times New Roman" w:cs="Times New Roman"/>
                <w:b/>
                <w:bCs/>
                <w:sz w:val="22"/>
                <w:szCs w:val="22"/>
              </w:rPr>
            </w:pPr>
            <w:r w:rsidRPr="00AF6A50">
              <w:rPr>
                <w:rFonts w:ascii="Times New Roman" w:hAnsi="Times New Roman" w:cs="Times New Roman"/>
                <w:b/>
                <w:bCs/>
                <w:sz w:val="22"/>
                <w:szCs w:val="22"/>
              </w:rPr>
              <w:t>Atsakymas</w:t>
            </w:r>
          </w:p>
        </w:tc>
      </w:tr>
      <w:tr w:rsidR="001741A1" w:rsidRPr="00AF6A50" w14:paraId="71578F06" w14:textId="77777777" w:rsidTr="00C84D0C">
        <w:tc>
          <w:tcPr>
            <w:tcW w:w="4248" w:type="dxa"/>
          </w:tcPr>
          <w:p w14:paraId="58C0CD28" w14:textId="24A60F70" w:rsidR="007B2FF7" w:rsidRPr="00AF6A50" w:rsidRDefault="00AF6A50" w:rsidP="00C84D0C">
            <w:pPr>
              <w:tabs>
                <w:tab w:val="left" w:pos="601"/>
              </w:tabs>
              <w:spacing w:after="120"/>
              <w:rPr>
                <w:rFonts w:ascii="Times New Roman" w:hAnsi="Times New Roman" w:cs="Times New Roman"/>
                <w:sz w:val="22"/>
                <w:szCs w:val="22"/>
              </w:rPr>
            </w:pPr>
            <w:r w:rsidRPr="00AF6A50">
              <w:rPr>
                <w:rFonts w:ascii="Times New Roman" w:hAnsi="Times New Roman" w:cs="Times New Roman"/>
                <w:sz w:val="22"/>
                <w:szCs w:val="22"/>
              </w:rPr>
              <w:t>G</w:t>
            </w:r>
            <w:r w:rsidR="001741A1" w:rsidRPr="00AF6A50">
              <w:rPr>
                <w:rFonts w:ascii="Times New Roman" w:hAnsi="Times New Roman" w:cs="Times New Roman"/>
                <w:sz w:val="22"/>
                <w:szCs w:val="22"/>
              </w:rPr>
              <w:t>autas tiekėjo prašymas patikslinti</w:t>
            </w:r>
            <w:r w:rsidR="00C84D0C" w:rsidRPr="00AF6A50">
              <w:rPr>
                <w:rFonts w:ascii="Times New Roman" w:hAnsi="Times New Roman" w:cs="Times New Roman"/>
                <w:sz w:val="22"/>
                <w:szCs w:val="22"/>
              </w:rPr>
              <w:t>/ pateikti</w:t>
            </w:r>
            <w:r w:rsidR="001741A1" w:rsidRPr="00AF6A50">
              <w:rPr>
                <w:rFonts w:ascii="Times New Roman" w:hAnsi="Times New Roman" w:cs="Times New Roman"/>
                <w:sz w:val="22"/>
                <w:szCs w:val="22"/>
              </w:rPr>
              <w:t>:</w:t>
            </w:r>
          </w:p>
          <w:p w14:paraId="778B539D" w14:textId="77777777" w:rsidR="001741A1" w:rsidRPr="00AF6A50" w:rsidRDefault="001741A1" w:rsidP="001741A1">
            <w:pPr>
              <w:pStyle w:val="ListParagraph"/>
              <w:numPr>
                <w:ilvl w:val="0"/>
                <w:numId w:val="1"/>
              </w:numPr>
              <w:tabs>
                <w:tab w:val="left" w:pos="601"/>
              </w:tabs>
              <w:snapToGrid w:val="0"/>
              <w:ind w:left="34" w:right="9" w:firstLine="0"/>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Optimaliam saulės elektrinės pasiūlymo pateikimui, pagal galimybę patikslinkite:</w:t>
            </w:r>
          </w:p>
          <w:p w14:paraId="3713B74E" w14:textId="77777777" w:rsidR="001741A1" w:rsidRPr="00AF6A50" w:rsidRDefault="001741A1" w:rsidP="001741A1">
            <w:pPr>
              <w:pStyle w:val="ListParagraph"/>
              <w:numPr>
                <w:ilvl w:val="0"/>
                <w:numId w:val="4"/>
              </w:numPr>
              <w:tabs>
                <w:tab w:val="left" w:pos="601"/>
              </w:tabs>
              <w:snapToGrid w:val="0"/>
              <w:ind w:left="601"/>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Pateikite objekto stogo nuotraukas;</w:t>
            </w:r>
          </w:p>
          <w:p w14:paraId="0A6BFC30" w14:textId="77777777" w:rsidR="001741A1" w:rsidRPr="00AF6A50" w:rsidRDefault="001741A1" w:rsidP="001741A1">
            <w:pPr>
              <w:pStyle w:val="ListParagraph"/>
              <w:numPr>
                <w:ilvl w:val="0"/>
                <w:numId w:val="4"/>
              </w:numPr>
              <w:tabs>
                <w:tab w:val="left" w:pos="601"/>
              </w:tabs>
              <w:snapToGrid w:val="0"/>
              <w:ind w:left="601"/>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Pateikite stogo brėžinius;</w:t>
            </w:r>
          </w:p>
          <w:p w14:paraId="6BB67089" w14:textId="356682B1" w:rsidR="001741A1" w:rsidRPr="00AF6A50" w:rsidRDefault="001741A1" w:rsidP="001741A1">
            <w:pPr>
              <w:pStyle w:val="ListParagraph"/>
              <w:numPr>
                <w:ilvl w:val="0"/>
                <w:numId w:val="4"/>
              </w:numPr>
              <w:tabs>
                <w:tab w:val="left" w:pos="601"/>
              </w:tabs>
              <w:snapToGrid w:val="0"/>
              <w:ind w:left="601"/>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pateikite Stogų ekspertizę, ar jos išvadas</w:t>
            </w:r>
            <w:r w:rsidR="00C84D0C" w:rsidRPr="00AF6A50">
              <w:rPr>
                <w:rFonts w:ascii="Times New Roman" w:eastAsia="Times New Roman" w:hAnsi="Times New Roman" w:cs="Times New Roman"/>
                <w:color w:val="000000"/>
                <w:sz w:val="22"/>
                <w:szCs w:val="22"/>
                <w:lang w:eastAsia="en-GB"/>
              </w:rPr>
              <w:t>.</w:t>
            </w:r>
          </w:p>
          <w:p w14:paraId="51083353" w14:textId="77777777" w:rsidR="001741A1" w:rsidRPr="00AF6A50" w:rsidRDefault="001741A1" w:rsidP="001741A1">
            <w:pPr>
              <w:tabs>
                <w:tab w:val="left" w:pos="601"/>
              </w:tabs>
              <w:snapToGrid w:val="0"/>
              <w:rPr>
                <w:rFonts w:ascii="Times New Roman" w:hAnsi="Times New Roman" w:cs="Times New Roman"/>
                <w:sz w:val="22"/>
                <w:szCs w:val="22"/>
              </w:rPr>
            </w:pPr>
          </w:p>
        </w:tc>
        <w:tc>
          <w:tcPr>
            <w:tcW w:w="5528" w:type="dxa"/>
          </w:tcPr>
          <w:p w14:paraId="617F95FB" w14:textId="3A531563" w:rsidR="00AF6A50" w:rsidRPr="00AF6A50" w:rsidRDefault="00AD1DAC" w:rsidP="00AF6A50">
            <w:pPr>
              <w:pStyle w:val="linija"/>
              <w:tabs>
                <w:tab w:val="left" w:pos="567"/>
                <w:tab w:val="left" w:pos="1560"/>
              </w:tabs>
              <w:spacing w:before="0" w:beforeAutospacing="0" w:after="0" w:afterAutospacing="0"/>
              <w:jc w:val="both"/>
              <w:outlineLvl w:val="1"/>
              <w:rPr>
                <w:sz w:val="22"/>
                <w:szCs w:val="22"/>
              </w:rPr>
            </w:pPr>
            <w:r w:rsidRPr="00AF6A50">
              <w:rPr>
                <w:sz w:val="22"/>
                <w:szCs w:val="22"/>
              </w:rPr>
              <w:t>Teikiame objekto stogo nuotraukas</w:t>
            </w:r>
            <w:r w:rsidR="00C84D0C" w:rsidRPr="00AF6A50">
              <w:rPr>
                <w:sz w:val="22"/>
                <w:szCs w:val="22"/>
              </w:rPr>
              <w:t xml:space="preserve">, </w:t>
            </w:r>
            <w:r w:rsidR="000A7989" w:rsidRPr="00AF6A50">
              <w:rPr>
                <w:sz w:val="22"/>
                <w:szCs w:val="22"/>
              </w:rPr>
              <w:t>5</w:t>
            </w:r>
            <w:r w:rsidR="00C84D0C" w:rsidRPr="00AF6A50">
              <w:rPr>
                <w:sz w:val="22"/>
                <w:szCs w:val="22"/>
              </w:rPr>
              <w:t xml:space="preserve"> foto</w:t>
            </w:r>
            <w:r w:rsidR="00AF6A50" w:rsidRPr="00AF6A50">
              <w:rPr>
                <w:sz w:val="22"/>
                <w:szCs w:val="22"/>
              </w:rPr>
              <w:t xml:space="preserve"> (</w:t>
            </w:r>
            <w:r w:rsidR="00AF6A50" w:rsidRPr="00AF6A50">
              <w:rPr>
                <w:sz w:val="22"/>
                <w:szCs w:val="22"/>
              </w:rPr>
              <w:t>kreiptis e</w:t>
            </w:r>
            <w:proofErr w:type="spellStart"/>
            <w:r w:rsidR="00AF6A50" w:rsidRPr="00AF6A50">
              <w:rPr>
                <w:sz w:val="22"/>
                <w:szCs w:val="22"/>
              </w:rPr>
              <w:t>l</w:t>
            </w:r>
            <w:proofErr w:type="spellEnd"/>
            <w:r w:rsidR="00AF6A50" w:rsidRPr="00AF6A50">
              <w:rPr>
                <w:sz w:val="22"/>
                <w:szCs w:val="22"/>
              </w:rPr>
              <w:t xml:space="preserve"> paštu </w:t>
            </w:r>
            <w:hyperlink r:id="rId5" w:history="1">
              <w:r w:rsidR="00AF6A50" w:rsidRPr="00AF6A50">
                <w:rPr>
                  <w:rStyle w:val="Hyperlink"/>
                  <w:sz w:val="22"/>
                  <w:szCs w:val="22"/>
                </w:rPr>
                <w:t>info@drozle.lt</w:t>
              </w:r>
            </w:hyperlink>
            <w:r w:rsidR="00AF6A50" w:rsidRPr="00AF6A50">
              <w:rPr>
                <w:rStyle w:val="Hyperlink"/>
                <w:sz w:val="22"/>
                <w:szCs w:val="22"/>
              </w:rPr>
              <w:t xml:space="preserve">, </w:t>
            </w:r>
            <w:r w:rsidR="00AF6A50" w:rsidRPr="00AF6A50">
              <w:rPr>
                <w:sz w:val="22"/>
                <w:szCs w:val="22"/>
              </w:rPr>
              <w:t>A. Kavolis, mob. tel. +37062526651)</w:t>
            </w:r>
          </w:p>
          <w:p w14:paraId="1D8C6353" w14:textId="76A9B371" w:rsidR="007B2FF7" w:rsidRPr="00AF6A50" w:rsidRDefault="007B2FF7" w:rsidP="00AD1DAC">
            <w:pPr>
              <w:rPr>
                <w:rFonts w:ascii="Times New Roman" w:hAnsi="Times New Roman" w:cs="Times New Roman"/>
                <w:sz w:val="22"/>
                <w:szCs w:val="22"/>
              </w:rPr>
            </w:pPr>
          </w:p>
          <w:p w14:paraId="6F2214C3" w14:textId="5F30E46E" w:rsidR="00C84D0C" w:rsidRPr="00AF6A50" w:rsidRDefault="00C84D0C" w:rsidP="00AD1DAC">
            <w:pPr>
              <w:rPr>
                <w:rFonts w:ascii="Times New Roman" w:hAnsi="Times New Roman" w:cs="Times New Roman"/>
                <w:sz w:val="22"/>
                <w:szCs w:val="22"/>
              </w:rPr>
            </w:pPr>
            <w:r w:rsidRPr="00AF6A50">
              <w:rPr>
                <w:rFonts w:ascii="Times New Roman" w:hAnsi="Times New Roman" w:cs="Times New Roman"/>
                <w:sz w:val="22"/>
                <w:szCs w:val="22"/>
              </w:rPr>
              <w:t>Stogo brėžinių neturime.</w:t>
            </w:r>
          </w:p>
          <w:p w14:paraId="2E34875D" w14:textId="00B18C1D" w:rsidR="00AD1DAC" w:rsidRPr="00AF6A50" w:rsidRDefault="00AD1DAC" w:rsidP="00C84D0C">
            <w:pPr>
              <w:tabs>
                <w:tab w:val="left" w:pos="606"/>
              </w:tabs>
              <w:autoSpaceDE w:val="0"/>
              <w:autoSpaceDN w:val="0"/>
              <w:adjustRightInd w:val="0"/>
              <w:ind w:left="39"/>
              <w:rPr>
                <w:rFonts w:ascii="Times New Roman" w:hAnsi="Times New Roman" w:cs="Times New Roman"/>
                <w:sz w:val="22"/>
                <w:szCs w:val="22"/>
              </w:rPr>
            </w:pPr>
            <w:r w:rsidRPr="00AF6A50">
              <w:rPr>
                <w:rFonts w:ascii="Times New Roman" w:hAnsi="Times New Roman" w:cs="Times New Roman"/>
                <w:sz w:val="22"/>
                <w:szCs w:val="22"/>
              </w:rPr>
              <w:t>Teikiame</w:t>
            </w:r>
            <w:r w:rsidR="00C84D0C" w:rsidRPr="00AF6A50">
              <w:rPr>
                <w:rFonts w:ascii="Times New Roman" w:hAnsi="Times New Roman" w:cs="Times New Roman"/>
                <w:sz w:val="22"/>
                <w:szCs w:val="22"/>
              </w:rPr>
              <w:t xml:space="preserve"> stogų ekspertizę</w:t>
            </w:r>
            <w:r w:rsidRPr="00AF6A50">
              <w:rPr>
                <w:rFonts w:ascii="Times New Roman" w:hAnsi="Times New Roman" w:cs="Times New Roman"/>
                <w:sz w:val="22"/>
                <w:szCs w:val="22"/>
              </w:rPr>
              <w:t>:</w:t>
            </w:r>
          </w:p>
          <w:p w14:paraId="627676C4" w14:textId="1F78163D" w:rsidR="00AD1DAC" w:rsidRPr="00AF6A50" w:rsidRDefault="00AD1DAC" w:rsidP="00C84D0C">
            <w:pPr>
              <w:tabs>
                <w:tab w:val="left" w:pos="606"/>
              </w:tabs>
              <w:autoSpaceDE w:val="0"/>
              <w:autoSpaceDN w:val="0"/>
              <w:adjustRightInd w:val="0"/>
              <w:ind w:left="180"/>
              <w:rPr>
                <w:rFonts w:ascii="Times New Roman" w:hAnsi="Times New Roman" w:cs="Times New Roman"/>
                <w:sz w:val="22"/>
                <w:szCs w:val="22"/>
              </w:rPr>
            </w:pPr>
            <w:r w:rsidRPr="00AF6A50">
              <w:rPr>
                <w:rFonts w:ascii="Times New Roman" w:hAnsi="Times New Roman" w:cs="Times New Roman"/>
                <w:sz w:val="22"/>
                <w:szCs w:val="22"/>
              </w:rPr>
              <w:t>1.</w:t>
            </w:r>
            <w:r w:rsidR="00C84D0C" w:rsidRPr="00AF6A50">
              <w:rPr>
                <w:rFonts w:ascii="Times New Roman" w:hAnsi="Times New Roman" w:cs="Times New Roman"/>
                <w:sz w:val="22"/>
                <w:szCs w:val="22"/>
              </w:rPr>
              <w:t xml:space="preserve"> </w:t>
            </w:r>
            <w:r w:rsidRPr="00AF6A50">
              <w:rPr>
                <w:rFonts w:ascii="Times New Roman" w:hAnsi="Times New Roman" w:cs="Times New Roman"/>
                <w:sz w:val="22"/>
                <w:szCs w:val="22"/>
              </w:rPr>
              <w:t>STATINIO STOGO KONSTRUKCIJŲ EKSPERTIZĖS AKTĄ, 2022-06-10 NR. 22-346.1T</w:t>
            </w:r>
          </w:p>
          <w:p w14:paraId="02659A4B" w14:textId="77777777" w:rsidR="00AD1DAC" w:rsidRPr="00AF6A50" w:rsidRDefault="00AD1DAC" w:rsidP="00C84D0C">
            <w:pPr>
              <w:tabs>
                <w:tab w:val="left" w:pos="606"/>
              </w:tabs>
              <w:autoSpaceDE w:val="0"/>
              <w:autoSpaceDN w:val="0"/>
              <w:adjustRightInd w:val="0"/>
              <w:ind w:left="180"/>
              <w:rPr>
                <w:rFonts w:ascii="Times New Roman" w:hAnsi="Times New Roman" w:cs="Times New Roman"/>
                <w:sz w:val="22"/>
                <w:szCs w:val="22"/>
              </w:rPr>
            </w:pPr>
            <w:r w:rsidRPr="00AF6A50">
              <w:rPr>
                <w:rFonts w:ascii="Times New Roman" w:hAnsi="Times New Roman" w:cs="Times New Roman"/>
                <w:sz w:val="22"/>
                <w:szCs w:val="22"/>
              </w:rPr>
              <w:t>2. STATINIO STOGO KONSTRUKCIJŲ EKSPERTIZĖS AKTAS, 2022-06-10 NR. 22-346.2T</w:t>
            </w:r>
          </w:p>
          <w:p w14:paraId="59D48454" w14:textId="77777777" w:rsidR="00C84D0C" w:rsidRPr="00AF6A50" w:rsidRDefault="00AD1DAC" w:rsidP="00C84D0C">
            <w:pPr>
              <w:tabs>
                <w:tab w:val="left" w:pos="606"/>
              </w:tabs>
              <w:autoSpaceDE w:val="0"/>
              <w:autoSpaceDN w:val="0"/>
              <w:adjustRightInd w:val="0"/>
              <w:ind w:left="180"/>
              <w:rPr>
                <w:rFonts w:ascii="Times New Roman" w:hAnsi="Times New Roman" w:cs="Times New Roman"/>
                <w:sz w:val="22"/>
                <w:szCs w:val="22"/>
              </w:rPr>
            </w:pPr>
            <w:r w:rsidRPr="00AF6A50">
              <w:rPr>
                <w:rFonts w:ascii="Times New Roman" w:hAnsi="Times New Roman" w:cs="Times New Roman"/>
                <w:sz w:val="22"/>
                <w:szCs w:val="22"/>
              </w:rPr>
              <w:t>3. STATINIO STOGO KONSTRUKCIJŲ EKSPERTIZĖS AKTAS, 2022-06-10 NR. 22-346.3T</w:t>
            </w:r>
          </w:p>
          <w:p w14:paraId="42A5E539" w14:textId="541521AA" w:rsidR="00AF6A50" w:rsidRPr="00AF6A50" w:rsidRDefault="00AF6A50" w:rsidP="00AF6A50">
            <w:pPr>
              <w:pStyle w:val="linija"/>
              <w:tabs>
                <w:tab w:val="left" w:pos="567"/>
                <w:tab w:val="left" w:pos="1560"/>
              </w:tabs>
              <w:spacing w:before="0" w:beforeAutospacing="0" w:after="0" w:afterAutospacing="0"/>
              <w:jc w:val="both"/>
              <w:outlineLvl w:val="1"/>
              <w:rPr>
                <w:sz w:val="22"/>
                <w:szCs w:val="22"/>
              </w:rPr>
            </w:pPr>
            <w:r w:rsidRPr="00AF6A50">
              <w:rPr>
                <w:sz w:val="22"/>
                <w:szCs w:val="22"/>
              </w:rPr>
              <w:t xml:space="preserve">(kreiptis </w:t>
            </w:r>
            <w:proofErr w:type="spellStart"/>
            <w:r w:rsidRPr="00AF6A50">
              <w:rPr>
                <w:sz w:val="22"/>
                <w:szCs w:val="22"/>
              </w:rPr>
              <w:t>el</w:t>
            </w:r>
            <w:proofErr w:type="spellEnd"/>
            <w:r w:rsidRPr="00AF6A50">
              <w:rPr>
                <w:sz w:val="22"/>
                <w:szCs w:val="22"/>
              </w:rPr>
              <w:t xml:space="preserve"> paštu </w:t>
            </w:r>
            <w:hyperlink r:id="rId6" w:history="1">
              <w:r w:rsidRPr="00AF6A50">
                <w:rPr>
                  <w:rStyle w:val="Hyperlink"/>
                  <w:sz w:val="22"/>
                  <w:szCs w:val="22"/>
                </w:rPr>
                <w:t>info@drozle.lt</w:t>
              </w:r>
            </w:hyperlink>
            <w:r w:rsidRPr="00AF6A50">
              <w:rPr>
                <w:rStyle w:val="Hyperlink"/>
                <w:sz w:val="22"/>
                <w:szCs w:val="22"/>
              </w:rPr>
              <w:t xml:space="preserve">, </w:t>
            </w:r>
            <w:r w:rsidRPr="00AF6A50">
              <w:rPr>
                <w:sz w:val="22"/>
                <w:szCs w:val="22"/>
              </w:rPr>
              <w:t>A. Kavolis, mob. tel. +37062526651)</w:t>
            </w:r>
          </w:p>
        </w:tc>
      </w:tr>
      <w:tr w:rsidR="001741A1" w:rsidRPr="00AF6A50" w14:paraId="2B1DF2C9" w14:textId="77777777" w:rsidTr="00C84D0C">
        <w:tc>
          <w:tcPr>
            <w:tcW w:w="4248" w:type="dxa"/>
          </w:tcPr>
          <w:p w14:paraId="4716D8C8" w14:textId="77777777" w:rsidR="001741A1" w:rsidRPr="00AF6A50" w:rsidRDefault="001741A1" w:rsidP="001741A1">
            <w:pPr>
              <w:pStyle w:val="ListParagraph"/>
              <w:numPr>
                <w:ilvl w:val="0"/>
                <w:numId w:val="1"/>
              </w:numPr>
              <w:tabs>
                <w:tab w:val="left" w:pos="601"/>
              </w:tabs>
              <w:snapToGrid w:val="0"/>
              <w:ind w:left="459" w:hanging="425"/>
              <w:rPr>
                <w:rFonts w:ascii="Times New Roman" w:eastAsia="Times New Roman" w:hAnsi="Times New Roman" w:cs="Times New Roman"/>
                <w:color w:val="000000"/>
                <w:sz w:val="22"/>
                <w:szCs w:val="22"/>
                <w:lang w:val="et-EE" w:eastAsia="en-GB"/>
              </w:rPr>
            </w:pPr>
            <w:proofErr w:type="spellStart"/>
            <w:r w:rsidRPr="00AF6A50">
              <w:rPr>
                <w:rFonts w:ascii="Times New Roman" w:eastAsia="Times New Roman" w:hAnsi="Times New Roman" w:cs="Times New Roman"/>
                <w:color w:val="000000"/>
                <w:sz w:val="22"/>
                <w:szCs w:val="22"/>
                <w:lang w:val="et-EE" w:eastAsia="en-GB"/>
              </w:rPr>
              <w:t>Kokia</w:t>
            </w:r>
            <w:proofErr w:type="spellEnd"/>
            <w:r w:rsidRPr="00AF6A50">
              <w:rPr>
                <w:rFonts w:ascii="Times New Roman" w:eastAsia="Times New Roman" w:hAnsi="Times New Roman" w:cs="Times New Roman"/>
                <w:color w:val="000000"/>
                <w:sz w:val="22"/>
                <w:szCs w:val="22"/>
                <w:lang w:val="et-EE" w:eastAsia="en-GB"/>
              </w:rPr>
              <w:t xml:space="preserve"> </w:t>
            </w:r>
            <w:proofErr w:type="spellStart"/>
            <w:r w:rsidRPr="00AF6A50">
              <w:rPr>
                <w:rFonts w:ascii="Times New Roman" w:eastAsia="Times New Roman" w:hAnsi="Times New Roman" w:cs="Times New Roman"/>
                <w:color w:val="000000"/>
                <w:sz w:val="22"/>
                <w:szCs w:val="22"/>
                <w:lang w:val="et-EE" w:eastAsia="en-GB"/>
              </w:rPr>
              <w:t>stogo</w:t>
            </w:r>
            <w:proofErr w:type="spellEnd"/>
            <w:r w:rsidRPr="00AF6A50">
              <w:rPr>
                <w:rFonts w:ascii="Times New Roman" w:eastAsia="Times New Roman" w:hAnsi="Times New Roman" w:cs="Times New Roman"/>
                <w:color w:val="000000"/>
                <w:sz w:val="22"/>
                <w:szCs w:val="22"/>
                <w:lang w:val="et-EE" w:eastAsia="en-GB"/>
              </w:rPr>
              <w:t xml:space="preserve"> </w:t>
            </w:r>
            <w:proofErr w:type="spellStart"/>
            <w:r w:rsidRPr="00AF6A50">
              <w:rPr>
                <w:rFonts w:ascii="Times New Roman" w:eastAsia="Times New Roman" w:hAnsi="Times New Roman" w:cs="Times New Roman"/>
                <w:color w:val="000000"/>
                <w:sz w:val="22"/>
                <w:szCs w:val="22"/>
                <w:lang w:val="et-EE" w:eastAsia="en-GB"/>
              </w:rPr>
              <w:t>danga</w:t>
            </w:r>
            <w:proofErr w:type="spellEnd"/>
            <w:r w:rsidRPr="00AF6A50">
              <w:rPr>
                <w:rFonts w:ascii="Times New Roman" w:eastAsia="Times New Roman" w:hAnsi="Times New Roman" w:cs="Times New Roman"/>
                <w:color w:val="000000"/>
                <w:sz w:val="22"/>
                <w:szCs w:val="22"/>
                <w:lang w:val="et-EE" w:eastAsia="en-GB"/>
              </w:rPr>
              <w:t>?</w:t>
            </w:r>
          </w:p>
          <w:p w14:paraId="52875762" w14:textId="77777777" w:rsidR="007B2FF7" w:rsidRPr="00AF6A50" w:rsidRDefault="007B2FF7" w:rsidP="001741A1">
            <w:pPr>
              <w:tabs>
                <w:tab w:val="left" w:pos="601"/>
              </w:tabs>
              <w:ind w:left="459" w:hanging="425"/>
              <w:rPr>
                <w:rFonts w:ascii="Times New Roman" w:hAnsi="Times New Roman" w:cs="Times New Roman"/>
                <w:sz w:val="22"/>
                <w:szCs w:val="22"/>
              </w:rPr>
            </w:pPr>
          </w:p>
        </w:tc>
        <w:tc>
          <w:tcPr>
            <w:tcW w:w="5528" w:type="dxa"/>
          </w:tcPr>
          <w:p w14:paraId="2D302591" w14:textId="220619A7" w:rsidR="007B2FF7" w:rsidRPr="00AF6A50" w:rsidRDefault="00C84D0C" w:rsidP="00C84D0C">
            <w:pPr>
              <w:rPr>
                <w:rFonts w:ascii="Times New Roman" w:hAnsi="Times New Roman" w:cs="Times New Roman"/>
                <w:sz w:val="22"/>
                <w:szCs w:val="22"/>
              </w:rPr>
            </w:pPr>
            <w:r w:rsidRPr="00AF6A50">
              <w:rPr>
                <w:rFonts w:ascii="Times New Roman" w:hAnsi="Times New Roman" w:cs="Times New Roman"/>
                <w:color w:val="000000"/>
                <w:sz w:val="22"/>
                <w:szCs w:val="22"/>
              </w:rPr>
              <w:t xml:space="preserve">Stogo danga, gelžbetoninės plokštės ir </w:t>
            </w:r>
            <w:proofErr w:type="spellStart"/>
            <w:r w:rsidRPr="00AF6A50">
              <w:rPr>
                <w:rFonts w:ascii="Times New Roman" w:hAnsi="Times New Roman" w:cs="Times New Roman"/>
                <w:color w:val="000000"/>
                <w:sz w:val="22"/>
                <w:szCs w:val="22"/>
              </w:rPr>
              <w:t>sandwich</w:t>
            </w:r>
            <w:proofErr w:type="spellEnd"/>
            <w:r w:rsidRPr="00AF6A50">
              <w:rPr>
                <w:rFonts w:ascii="Times New Roman" w:hAnsi="Times New Roman" w:cs="Times New Roman"/>
                <w:color w:val="000000"/>
                <w:sz w:val="22"/>
                <w:szCs w:val="22"/>
              </w:rPr>
              <w:t>. </w:t>
            </w:r>
          </w:p>
        </w:tc>
      </w:tr>
      <w:tr w:rsidR="001741A1" w:rsidRPr="00AF6A50" w14:paraId="417C9937" w14:textId="77777777" w:rsidTr="00C84D0C">
        <w:tc>
          <w:tcPr>
            <w:tcW w:w="4248" w:type="dxa"/>
          </w:tcPr>
          <w:p w14:paraId="36F7CAF5" w14:textId="77777777" w:rsidR="001741A1" w:rsidRPr="00AF6A50" w:rsidRDefault="001741A1" w:rsidP="001741A1">
            <w:pPr>
              <w:pStyle w:val="ListParagraph"/>
              <w:numPr>
                <w:ilvl w:val="0"/>
                <w:numId w:val="1"/>
              </w:numPr>
              <w:tabs>
                <w:tab w:val="left" w:pos="601"/>
              </w:tabs>
              <w:snapToGrid w:val="0"/>
              <w:ind w:left="459" w:hanging="425"/>
              <w:rPr>
                <w:rFonts w:ascii="Times New Roman" w:eastAsia="Times New Roman" w:hAnsi="Times New Roman" w:cs="Times New Roman"/>
                <w:color w:val="000000"/>
                <w:sz w:val="22"/>
                <w:szCs w:val="22"/>
                <w:lang w:val="et-EE" w:eastAsia="en-GB"/>
              </w:rPr>
            </w:pPr>
            <w:proofErr w:type="spellStart"/>
            <w:r w:rsidRPr="00AF6A50">
              <w:rPr>
                <w:rFonts w:ascii="Times New Roman" w:eastAsia="Times New Roman" w:hAnsi="Times New Roman" w:cs="Times New Roman"/>
                <w:color w:val="000000"/>
                <w:sz w:val="22"/>
                <w:szCs w:val="22"/>
                <w:lang w:val="et-EE" w:eastAsia="en-GB"/>
              </w:rPr>
              <w:t>Pateikite</w:t>
            </w:r>
            <w:proofErr w:type="spellEnd"/>
            <w:r w:rsidRPr="00AF6A50">
              <w:rPr>
                <w:rFonts w:ascii="Times New Roman" w:eastAsia="Times New Roman" w:hAnsi="Times New Roman" w:cs="Times New Roman"/>
                <w:color w:val="000000"/>
                <w:sz w:val="22"/>
                <w:szCs w:val="22"/>
                <w:lang w:val="et-EE" w:eastAsia="en-GB"/>
              </w:rPr>
              <w:t xml:space="preserve"> ESO </w:t>
            </w:r>
            <w:proofErr w:type="spellStart"/>
            <w:r w:rsidRPr="00AF6A50">
              <w:rPr>
                <w:rFonts w:ascii="Times New Roman" w:eastAsia="Times New Roman" w:hAnsi="Times New Roman" w:cs="Times New Roman"/>
                <w:color w:val="000000"/>
                <w:sz w:val="22"/>
                <w:szCs w:val="22"/>
                <w:lang w:val="et-EE" w:eastAsia="en-GB"/>
              </w:rPr>
              <w:t>sąlygas</w:t>
            </w:r>
            <w:proofErr w:type="spellEnd"/>
            <w:r w:rsidRPr="00AF6A50">
              <w:rPr>
                <w:rFonts w:ascii="Times New Roman" w:eastAsia="Times New Roman" w:hAnsi="Times New Roman" w:cs="Times New Roman"/>
                <w:color w:val="000000"/>
                <w:sz w:val="22"/>
                <w:szCs w:val="22"/>
                <w:lang w:val="et-EE" w:eastAsia="en-GB"/>
              </w:rPr>
              <w:t>.</w:t>
            </w:r>
          </w:p>
          <w:p w14:paraId="5B31ECD9" w14:textId="77777777" w:rsidR="007B2FF7" w:rsidRPr="00AF6A50" w:rsidRDefault="007B2FF7" w:rsidP="001741A1">
            <w:pPr>
              <w:tabs>
                <w:tab w:val="left" w:pos="601"/>
              </w:tabs>
              <w:ind w:left="459" w:hanging="425"/>
              <w:rPr>
                <w:rFonts w:ascii="Times New Roman" w:hAnsi="Times New Roman" w:cs="Times New Roman"/>
                <w:sz w:val="22"/>
                <w:szCs w:val="22"/>
              </w:rPr>
            </w:pPr>
          </w:p>
        </w:tc>
        <w:tc>
          <w:tcPr>
            <w:tcW w:w="5528" w:type="dxa"/>
          </w:tcPr>
          <w:p w14:paraId="082D1F7D" w14:textId="77777777" w:rsidR="00C84D0C" w:rsidRPr="00AF6A50" w:rsidRDefault="00C84D0C" w:rsidP="00C84D0C">
            <w:pPr>
              <w:rPr>
                <w:rFonts w:ascii="Times New Roman" w:hAnsi="Times New Roman" w:cs="Times New Roman"/>
                <w:sz w:val="22"/>
                <w:szCs w:val="22"/>
              </w:rPr>
            </w:pPr>
            <w:r w:rsidRPr="00AF6A50">
              <w:rPr>
                <w:rFonts w:ascii="Times New Roman" w:hAnsi="Times New Roman" w:cs="Times New Roman"/>
                <w:sz w:val="22"/>
                <w:szCs w:val="22"/>
              </w:rPr>
              <w:t>Teikiame prijungimo sąlygas:</w:t>
            </w:r>
          </w:p>
          <w:p w14:paraId="461DB4E2" w14:textId="77777777" w:rsidR="00C84D0C" w:rsidRPr="00AF6A50" w:rsidRDefault="00C84D0C" w:rsidP="00AF6A50">
            <w:pPr>
              <w:pStyle w:val="ListParagraph"/>
              <w:numPr>
                <w:ilvl w:val="0"/>
                <w:numId w:val="6"/>
              </w:numPr>
              <w:tabs>
                <w:tab w:val="left" w:pos="606"/>
              </w:tabs>
              <w:rPr>
                <w:rFonts w:ascii="Times New Roman" w:hAnsi="Times New Roman" w:cs="Times New Roman"/>
                <w:sz w:val="22"/>
                <w:szCs w:val="22"/>
              </w:rPr>
            </w:pPr>
            <w:r w:rsidRPr="00AF6A50">
              <w:rPr>
                <w:rFonts w:ascii="Times New Roman" w:hAnsi="Times New Roman" w:cs="Times New Roman"/>
                <w:sz w:val="22"/>
                <w:szCs w:val="22"/>
              </w:rPr>
              <w:t>PRIJUNGIMO SĄLYGOS NR. GAM22-90317</w:t>
            </w:r>
          </w:p>
          <w:p w14:paraId="7CB11DF6" w14:textId="77777777" w:rsidR="00C84D0C" w:rsidRPr="00AF6A50" w:rsidRDefault="00C84D0C" w:rsidP="00AF6A50">
            <w:pPr>
              <w:pStyle w:val="ListParagraph"/>
              <w:numPr>
                <w:ilvl w:val="0"/>
                <w:numId w:val="6"/>
              </w:numPr>
              <w:tabs>
                <w:tab w:val="left" w:pos="606"/>
              </w:tabs>
              <w:rPr>
                <w:rFonts w:ascii="Times New Roman" w:hAnsi="Times New Roman" w:cs="Times New Roman"/>
                <w:sz w:val="22"/>
                <w:szCs w:val="22"/>
              </w:rPr>
            </w:pPr>
            <w:r w:rsidRPr="00AF6A50">
              <w:rPr>
                <w:rFonts w:ascii="Times New Roman" w:hAnsi="Times New Roman" w:cs="Times New Roman"/>
                <w:sz w:val="22"/>
                <w:szCs w:val="22"/>
              </w:rPr>
              <w:t>PRIJUNGIMO SĄLYGOS NR. GAM22-52918</w:t>
            </w:r>
          </w:p>
          <w:p w14:paraId="31D75ABB" w14:textId="77777777" w:rsidR="00C84D0C" w:rsidRPr="00AF6A50" w:rsidRDefault="00C84D0C" w:rsidP="00AF6A50">
            <w:pPr>
              <w:pStyle w:val="ListParagraph"/>
              <w:numPr>
                <w:ilvl w:val="0"/>
                <w:numId w:val="6"/>
              </w:numPr>
              <w:tabs>
                <w:tab w:val="left" w:pos="606"/>
              </w:tabs>
              <w:rPr>
                <w:rFonts w:ascii="Times New Roman" w:hAnsi="Times New Roman" w:cs="Times New Roman"/>
                <w:sz w:val="22"/>
                <w:szCs w:val="22"/>
              </w:rPr>
            </w:pPr>
            <w:r w:rsidRPr="00AF6A50">
              <w:rPr>
                <w:rFonts w:ascii="Times New Roman" w:hAnsi="Times New Roman" w:cs="Times New Roman"/>
                <w:sz w:val="22"/>
                <w:szCs w:val="22"/>
              </w:rPr>
              <w:t>PRIJUNGIMO SĄLYGOS NR. GAM22-90310</w:t>
            </w:r>
          </w:p>
          <w:p w14:paraId="2558247D" w14:textId="6CC5F278" w:rsidR="007B2FF7" w:rsidRPr="00AF6A50" w:rsidRDefault="00AF6A50" w:rsidP="00AF6A50">
            <w:pPr>
              <w:pStyle w:val="linija"/>
              <w:tabs>
                <w:tab w:val="left" w:pos="567"/>
                <w:tab w:val="left" w:pos="1560"/>
              </w:tabs>
              <w:spacing w:before="0" w:beforeAutospacing="0" w:after="0" w:afterAutospacing="0"/>
              <w:jc w:val="both"/>
              <w:outlineLvl w:val="1"/>
              <w:rPr>
                <w:sz w:val="22"/>
                <w:szCs w:val="22"/>
              </w:rPr>
            </w:pPr>
            <w:r w:rsidRPr="00AF6A50">
              <w:rPr>
                <w:sz w:val="22"/>
                <w:szCs w:val="22"/>
              </w:rPr>
              <w:t xml:space="preserve">(kreiptis </w:t>
            </w:r>
            <w:proofErr w:type="spellStart"/>
            <w:r w:rsidRPr="00AF6A50">
              <w:rPr>
                <w:sz w:val="22"/>
                <w:szCs w:val="22"/>
              </w:rPr>
              <w:t>el</w:t>
            </w:r>
            <w:proofErr w:type="spellEnd"/>
            <w:r w:rsidRPr="00AF6A50">
              <w:rPr>
                <w:sz w:val="22"/>
                <w:szCs w:val="22"/>
              </w:rPr>
              <w:t xml:space="preserve"> paštu </w:t>
            </w:r>
            <w:hyperlink r:id="rId7" w:history="1">
              <w:r w:rsidRPr="00AF6A50">
                <w:rPr>
                  <w:rStyle w:val="Hyperlink"/>
                  <w:sz w:val="22"/>
                  <w:szCs w:val="22"/>
                </w:rPr>
                <w:t>info@drozle.lt</w:t>
              </w:r>
            </w:hyperlink>
            <w:r w:rsidRPr="00AF6A50">
              <w:rPr>
                <w:rStyle w:val="Hyperlink"/>
                <w:sz w:val="22"/>
                <w:szCs w:val="22"/>
              </w:rPr>
              <w:t xml:space="preserve">, </w:t>
            </w:r>
            <w:r w:rsidRPr="00AF6A50">
              <w:rPr>
                <w:sz w:val="22"/>
                <w:szCs w:val="22"/>
              </w:rPr>
              <w:t>A. Kavolis, mob. tel. +37062526651)</w:t>
            </w:r>
          </w:p>
        </w:tc>
      </w:tr>
      <w:tr w:rsidR="001741A1" w:rsidRPr="00AF6A50" w14:paraId="287E0B31" w14:textId="77777777" w:rsidTr="00C84D0C">
        <w:tc>
          <w:tcPr>
            <w:tcW w:w="4248" w:type="dxa"/>
          </w:tcPr>
          <w:p w14:paraId="640EA998" w14:textId="77777777" w:rsidR="001741A1" w:rsidRPr="00AF6A50" w:rsidRDefault="001741A1" w:rsidP="00AD1DAC">
            <w:pPr>
              <w:pStyle w:val="ListParagraph"/>
              <w:numPr>
                <w:ilvl w:val="0"/>
                <w:numId w:val="1"/>
              </w:numPr>
              <w:snapToGrid w:val="0"/>
              <w:ind w:left="459"/>
              <w:contextualSpacing w:val="0"/>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Taip pat patikslinkite:</w:t>
            </w:r>
          </w:p>
          <w:p w14:paraId="218D2B86" w14:textId="38A3B5A1" w:rsidR="001741A1" w:rsidRPr="00AF6A50" w:rsidRDefault="001741A1" w:rsidP="00AD1DAC">
            <w:pPr>
              <w:snapToGrid w:val="0"/>
              <w:ind w:left="99"/>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Kompensacija u</w:t>
            </w:r>
            <w:r w:rsidR="00C84D0C" w:rsidRPr="00AF6A50">
              <w:rPr>
                <w:rFonts w:ascii="Times New Roman" w:eastAsia="Times New Roman" w:hAnsi="Times New Roman" w:cs="Times New Roman"/>
                <w:color w:val="000000"/>
                <w:sz w:val="22"/>
                <w:szCs w:val="22"/>
                <w:lang w:eastAsia="en-GB"/>
              </w:rPr>
              <w:t>ž</w:t>
            </w:r>
            <w:r w:rsidRPr="00AF6A50">
              <w:rPr>
                <w:rFonts w:ascii="Times New Roman" w:eastAsia="Times New Roman" w:hAnsi="Times New Roman" w:cs="Times New Roman"/>
                <w:color w:val="000000"/>
                <w:sz w:val="22"/>
                <w:szCs w:val="22"/>
                <w:lang w:eastAsia="en-GB"/>
              </w:rPr>
              <w:t xml:space="preserve"> nepagamint</w:t>
            </w:r>
            <w:r w:rsidR="00C84D0C" w:rsidRPr="00AF6A50">
              <w:rPr>
                <w:rFonts w:ascii="Times New Roman" w:eastAsia="Times New Roman" w:hAnsi="Times New Roman" w:cs="Times New Roman"/>
                <w:color w:val="000000"/>
                <w:sz w:val="22"/>
                <w:szCs w:val="22"/>
                <w:lang w:eastAsia="en-GB"/>
              </w:rPr>
              <w:t>ą</w:t>
            </w:r>
            <w:r w:rsidRPr="00AF6A50">
              <w:rPr>
                <w:rFonts w:ascii="Times New Roman" w:eastAsia="Times New Roman" w:hAnsi="Times New Roman" w:cs="Times New Roman"/>
                <w:color w:val="000000"/>
                <w:sz w:val="22"/>
                <w:szCs w:val="22"/>
                <w:lang w:eastAsia="en-GB"/>
              </w:rPr>
              <w:t xml:space="preserve"> kiek</w:t>
            </w:r>
            <w:r w:rsidR="00C84D0C" w:rsidRPr="00AF6A50">
              <w:rPr>
                <w:rFonts w:ascii="Times New Roman" w:eastAsia="Times New Roman" w:hAnsi="Times New Roman" w:cs="Times New Roman"/>
                <w:color w:val="000000"/>
                <w:sz w:val="22"/>
                <w:szCs w:val="22"/>
                <w:lang w:eastAsia="en-GB"/>
              </w:rPr>
              <w:t>į</w:t>
            </w:r>
            <w:r w:rsidRPr="00AF6A50">
              <w:rPr>
                <w:rFonts w:ascii="Times New Roman" w:eastAsia="Times New Roman" w:hAnsi="Times New Roman" w:cs="Times New Roman"/>
                <w:color w:val="000000"/>
                <w:sz w:val="22"/>
                <w:szCs w:val="22"/>
                <w:lang w:eastAsia="en-GB"/>
              </w:rPr>
              <w:t>:</w:t>
            </w:r>
          </w:p>
          <w:p w14:paraId="3FCB7E75" w14:textId="77777777" w:rsidR="001741A1" w:rsidRPr="00AF6A50" w:rsidRDefault="001741A1" w:rsidP="00AD1DAC">
            <w:pPr>
              <w:spacing w:before="100" w:beforeAutospacing="1" w:after="100" w:afterAutospacing="1"/>
              <w:ind w:left="34"/>
              <w:jc w:val="both"/>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i/>
                <w:iCs/>
                <w:color w:val="000000"/>
                <w:sz w:val="22"/>
                <w:szCs w:val="22"/>
                <w:lang w:eastAsia="en-GB"/>
              </w:rPr>
              <w:t>Tiekėjas turės užtikrinti: Garantuojamas pagamintas elektros kiekis, kWh/kW/metus (pirmais metais, sekančiais metais generacija nemažės daugiau nei 2%, o trečiais ir dar tolesniais metais nemažės po daugiau nei 0,5%). Tuo atveju, jei per metus (pirmi metai skaičiuojami nuo Saulės elektrinės statybos užbaigimo ir perdavimo akto pasirašymo tarp Tiekėjo ir Pirkėjo datos, ir toliau kas metus) Saulės elektrinė nepagamins deklaruoto metinio elektros energijos kiekio, Pirkėjas turės teisę reikalauti kompensacijos ar baudos.</w:t>
            </w:r>
          </w:p>
          <w:p w14:paraId="7CBF32FB" w14:textId="77777777" w:rsidR="001741A1" w:rsidRPr="00AF6A50" w:rsidRDefault="001741A1" w:rsidP="001741A1">
            <w:pPr>
              <w:spacing w:before="100" w:beforeAutospacing="1" w:after="100" w:afterAutospacing="1"/>
              <w:jc w:val="both"/>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p. 11.3.  </w:t>
            </w:r>
            <w:r w:rsidRPr="00AF6A50">
              <w:rPr>
                <w:rFonts w:ascii="Times New Roman" w:eastAsia="Times New Roman" w:hAnsi="Times New Roman" w:cs="Times New Roman"/>
                <w:i/>
                <w:iCs/>
                <w:color w:val="000000"/>
                <w:sz w:val="22"/>
                <w:szCs w:val="22"/>
                <w:lang w:eastAsia="en-GB"/>
              </w:rPr>
              <w:t xml:space="preserve">Tiekėjas turės užtikrinti, kad saulės elektrinė pagamintų deklaruotą metinį elektros energijos kiekį. Tuo atveju, jei per metus (pirmi metai skaičiuojami nuo Saulės elektrinės statybos užbaigimo ir perdavimo akto pasirašymo tarp Tiekėjo ir Pirkėjo datos, ir toliau kas metus) Saulės elektrinė nepagamins deklaruoto metinio elektros energijos kiekio, Pirkėjas turės teisę reikalauti kompensacijos ar baudos: jei Saulės elektrinė nepagamins deklaruoto metinio elektros energijos kiekio – tiekėjas </w:t>
            </w:r>
            <w:r w:rsidRPr="00AF6A50">
              <w:rPr>
                <w:rFonts w:ascii="Times New Roman" w:eastAsia="Times New Roman" w:hAnsi="Times New Roman" w:cs="Times New Roman"/>
                <w:i/>
                <w:iCs/>
                <w:color w:val="000000"/>
                <w:sz w:val="22"/>
                <w:szCs w:val="22"/>
                <w:lang w:eastAsia="en-GB"/>
              </w:rPr>
              <w:lastRenderedPageBreak/>
              <w:t>įsipareigoja kompensuoti elektros kaštų kainą.</w:t>
            </w:r>
          </w:p>
          <w:p w14:paraId="4E13B747" w14:textId="77777777" w:rsidR="001741A1" w:rsidRPr="00AF6A50" w:rsidRDefault="001741A1" w:rsidP="00C84D0C">
            <w:pPr>
              <w:snapToGrid w:val="0"/>
              <w:jc w:val="both"/>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Tokio dydžio nepagamintos elektros energijos kiekio (2 proc.) pirmus 2 m ir likusius metus (neaišku koks laikotarpis metais) generacijos užtikrinti negalime, nes šie skaičiai, greičiausiai, remiasi tik modulių linijine degradacija.</w:t>
            </w:r>
          </w:p>
          <w:p w14:paraId="3C2DF1FC" w14:textId="77777777" w:rsidR="001741A1" w:rsidRPr="00AF6A50" w:rsidRDefault="001741A1" w:rsidP="00C84D0C">
            <w:pPr>
              <w:snapToGrid w:val="0"/>
              <w:jc w:val="both"/>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Prašome padidinti nepagimtos elektros energijos kiekį pirmus metus iki 10 proc.</w:t>
            </w:r>
          </w:p>
          <w:p w14:paraId="524A421C" w14:textId="7589A28D" w:rsidR="00C84D0C" w:rsidRPr="00AF6A50" w:rsidRDefault="00C84D0C" w:rsidP="00C84D0C">
            <w:pPr>
              <w:snapToGrid w:val="0"/>
              <w:jc w:val="both"/>
              <w:rPr>
                <w:rFonts w:ascii="Times New Roman" w:eastAsia="Times New Roman" w:hAnsi="Times New Roman" w:cs="Times New Roman"/>
                <w:color w:val="000000"/>
                <w:sz w:val="22"/>
                <w:szCs w:val="22"/>
                <w:lang w:eastAsia="en-GB"/>
              </w:rPr>
            </w:pPr>
          </w:p>
        </w:tc>
        <w:tc>
          <w:tcPr>
            <w:tcW w:w="5528" w:type="dxa"/>
          </w:tcPr>
          <w:p w14:paraId="644A16E3" w14:textId="77777777" w:rsidR="001741A1" w:rsidRPr="00AF6A50" w:rsidRDefault="00C84D0C" w:rsidP="00FC0275">
            <w:pPr>
              <w:rPr>
                <w:rFonts w:ascii="Times New Roman" w:hAnsi="Times New Roman" w:cs="Times New Roman"/>
                <w:color w:val="000000" w:themeColor="text1"/>
                <w:sz w:val="22"/>
                <w:szCs w:val="22"/>
              </w:rPr>
            </w:pPr>
            <w:r w:rsidRPr="00AF6A50">
              <w:rPr>
                <w:rFonts w:ascii="Times New Roman" w:hAnsi="Times New Roman" w:cs="Times New Roman"/>
                <w:color w:val="000000" w:themeColor="text1"/>
                <w:sz w:val="22"/>
                <w:szCs w:val="22"/>
              </w:rPr>
              <w:lastRenderedPageBreak/>
              <w:t>Atsakymas:</w:t>
            </w:r>
          </w:p>
          <w:p w14:paraId="288AF7FB" w14:textId="0143F525" w:rsidR="00417D0D" w:rsidRPr="00AF6A50" w:rsidRDefault="00417D0D" w:rsidP="00417D0D">
            <w:pPr>
              <w:snapToGrid w:val="0"/>
              <w:jc w:val="both"/>
              <w:rPr>
                <w:rFonts w:ascii="Times New Roman" w:eastAsia="Times New Roman" w:hAnsi="Times New Roman" w:cs="Times New Roman"/>
                <w:color w:val="000000"/>
                <w:sz w:val="22"/>
                <w:szCs w:val="22"/>
                <w:lang w:eastAsia="en-GB"/>
              </w:rPr>
            </w:pPr>
            <w:r w:rsidRPr="00AF6A50">
              <w:rPr>
                <w:rFonts w:ascii="Times New Roman" w:hAnsi="Times New Roman" w:cs="Times New Roman"/>
                <w:color w:val="000000" w:themeColor="text1"/>
                <w:sz w:val="22"/>
                <w:szCs w:val="22"/>
              </w:rPr>
              <w:t xml:space="preserve">Tiekėjo prašymą </w:t>
            </w:r>
            <w:r w:rsidRPr="00AF6A50">
              <w:rPr>
                <w:rFonts w:ascii="Times New Roman" w:eastAsia="Times New Roman" w:hAnsi="Times New Roman" w:cs="Times New Roman"/>
                <w:color w:val="000000"/>
                <w:sz w:val="22"/>
                <w:szCs w:val="22"/>
                <w:lang w:eastAsia="en-GB"/>
              </w:rPr>
              <w:t xml:space="preserve">padidinti nepagamintos elektros energijos kiekį pirmus metus iki 10 proc. tenkiname iš dalies, atsižvelgdami į vyraujančią praktiką, todėl patiksliname </w:t>
            </w:r>
            <w:r w:rsidR="00FC0275" w:rsidRPr="00AF6A50">
              <w:rPr>
                <w:rFonts w:ascii="Times New Roman" w:eastAsia="Times New Roman" w:hAnsi="Times New Roman" w:cs="Times New Roman"/>
                <w:color w:val="000000"/>
                <w:sz w:val="22"/>
                <w:szCs w:val="22"/>
                <w:lang w:eastAsia="en-GB"/>
              </w:rPr>
              <w:t>šią sąlygą, nustatydami ne 2 %, o 5 %:</w:t>
            </w:r>
          </w:p>
          <w:p w14:paraId="2720416B" w14:textId="77777777" w:rsidR="00FC0275" w:rsidRPr="00AF6A50" w:rsidRDefault="00FC0275" w:rsidP="00417D0D">
            <w:pPr>
              <w:snapToGrid w:val="0"/>
              <w:jc w:val="both"/>
              <w:rPr>
                <w:rFonts w:ascii="Times New Roman" w:eastAsia="Times New Roman" w:hAnsi="Times New Roman" w:cs="Times New Roman"/>
                <w:color w:val="000000"/>
                <w:sz w:val="22"/>
                <w:szCs w:val="22"/>
                <w:lang w:eastAsia="en-GB"/>
              </w:rPr>
            </w:pPr>
          </w:p>
          <w:p w14:paraId="3E0FB7A6" w14:textId="422C8CB3" w:rsidR="00FC0275" w:rsidRPr="00AF6A50" w:rsidRDefault="00FC0275" w:rsidP="00417D0D">
            <w:pPr>
              <w:snapToGrid w:val="0"/>
              <w:jc w:val="both"/>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i/>
                <w:iCs/>
                <w:color w:val="000000"/>
                <w:sz w:val="22"/>
                <w:szCs w:val="22"/>
                <w:lang w:eastAsia="en-GB"/>
              </w:rPr>
              <w:t xml:space="preserve">Tiekėjas turės užtikrinti: Garantuojamas pagamintas elektros kiekis, kWh/kW/metus (pirmais metais, sekančiais metais generacija nemažės daugiau nei </w:t>
            </w:r>
            <w:r w:rsidRPr="00AF6A50">
              <w:rPr>
                <w:rFonts w:ascii="Times New Roman" w:eastAsia="Times New Roman" w:hAnsi="Times New Roman" w:cs="Times New Roman"/>
                <w:b/>
                <w:bCs/>
                <w:i/>
                <w:iCs/>
                <w:color w:val="000000"/>
                <w:sz w:val="22"/>
                <w:szCs w:val="22"/>
                <w:lang w:eastAsia="en-GB"/>
              </w:rPr>
              <w:t>5%</w:t>
            </w:r>
            <w:r w:rsidRPr="00AF6A50">
              <w:rPr>
                <w:rFonts w:ascii="Times New Roman" w:eastAsia="Times New Roman" w:hAnsi="Times New Roman" w:cs="Times New Roman"/>
                <w:i/>
                <w:iCs/>
                <w:color w:val="000000"/>
                <w:sz w:val="22"/>
                <w:szCs w:val="22"/>
                <w:lang w:eastAsia="en-GB"/>
              </w:rPr>
              <w:t>, o trečiais ir dar tolesniais metais nemažės po daugiau nei 0,5%).</w:t>
            </w:r>
          </w:p>
          <w:p w14:paraId="05D71CF1" w14:textId="7658268E" w:rsidR="00417D0D" w:rsidRPr="00AF6A50" w:rsidRDefault="00417D0D" w:rsidP="001741A1">
            <w:pPr>
              <w:ind w:left="200"/>
              <w:rPr>
                <w:rFonts w:ascii="Times New Roman" w:hAnsi="Times New Roman" w:cs="Times New Roman"/>
                <w:sz w:val="22"/>
                <w:szCs w:val="22"/>
              </w:rPr>
            </w:pPr>
          </w:p>
        </w:tc>
      </w:tr>
      <w:tr w:rsidR="001741A1" w:rsidRPr="00AF6A50" w14:paraId="1DBA12A7" w14:textId="77777777" w:rsidTr="00C84D0C">
        <w:tc>
          <w:tcPr>
            <w:tcW w:w="4248" w:type="dxa"/>
          </w:tcPr>
          <w:p w14:paraId="06800EC7" w14:textId="2E4928E7" w:rsidR="001741A1" w:rsidRPr="00AF6A50" w:rsidRDefault="00C84D0C" w:rsidP="001741A1">
            <w:pPr>
              <w:spacing w:before="100" w:beforeAutospacing="1" w:after="100" w:afterAutospacing="1"/>
              <w:jc w:val="both"/>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color w:val="000000"/>
                <w:sz w:val="22"/>
                <w:szCs w:val="22"/>
                <w:lang w:eastAsia="en-GB"/>
              </w:rPr>
              <w:t xml:space="preserve">5. </w:t>
            </w:r>
            <w:r w:rsidR="001741A1" w:rsidRPr="00AF6A50">
              <w:rPr>
                <w:rFonts w:ascii="Times New Roman" w:eastAsia="Times New Roman" w:hAnsi="Times New Roman" w:cs="Times New Roman"/>
                <w:color w:val="000000"/>
                <w:sz w:val="22"/>
                <w:szCs w:val="22"/>
                <w:lang w:eastAsia="en-GB"/>
              </w:rPr>
              <w:t>Tokio dydžio baudos praktikoje nėra taikomos. Prašome ją panaikinti (p.11.3) atsižvelgiant į tai, kad kiti Jūsų punktai (p. 11.4 ir 11.5) nurodo atitinkamos baudos dydžius dėl vėlavimo įgyvendinti projektą: </w:t>
            </w:r>
          </w:p>
          <w:p w14:paraId="79C38FB4" w14:textId="77777777" w:rsidR="001741A1" w:rsidRPr="00AF6A50" w:rsidRDefault="001741A1" w:rsidP="00C84D0C">
            <w:pPr>
              <w:jc w:val="both"/>
              <w:rPr>
                <w:rFonts w:ascii="Times New Roman" w:eastAsia="Times New Roman" w:hAnsi="Times New Roman" w:cs="Times New Roman"/>
                <w:color w:val="000000"/>
                <w:sz w:val="22"/>
                <w:szCs w:val="22"/>
                <w:lang w:eastAsia="en-GB"/>
              </w:rPr>
            </w:pPr>
            <w:r w:rsidRPr="00AF6A50">
              <w:rPr>
                <w:rFonts w:ascii="Times New Roman" w:eastAsia="Times New Roman" w:hAnsi="Times New Roman" w:cs="Times New Roman"/>
                <w:i/>
                <w:iCs/>
                <w:color w:val="000000"/>
                <w:sz w:val="22"/>
                <w:szCs w:val="22"/>
                <w:lang w:eastAsia="en-GB"/>
              </w:rPr>
              <w:t>p. 11.3. Neperdavus darbų per Sutartyje nustatytą terminą - už kiekvieną vėluojamą mėnesį – bauda 10 000 eurų.</w:t>
            </w:r>
          </w:p>
          <w:p w14:paraId="5E6CDB0F" w14:textId="29C7E3C8" w:rsidR="001741A1" w:rsidRPr="00AF6A50" w:rsidRDefault="001741A1" w:rsidP="00C84D0C">
            <w:pPr>
              <w:jc w:val="both"/>
              <w:rPr>
                <w:rFonts w:ascii="Times New Roman" w:eastAsia="Times New Roman" w:hAnsi="Times New Roman" w:cs="Times New Roman"/>
                <w:i/>
                <w:iCs/>
                <w:color w:val="000000"/>
                <w:sz w:val="22"/>
                <w:szCs w:val="22"/>
                <w:lang w:eastAsia="en-GB"/>
              </w:rPr>
            </w:pPr>
            <w:r w:rsidRPr="00AF6A50">
              <w:rPr>
                <w:rFonts w:ascii="Times New Roman" w:eastAsia="Times New Roman" w:hAnsi="Times New Roman" w:cs="Times New Roman"/>
                <w:i/>
                <w:iCs/>
                <w:color w:val="000000"/>
                <w:sz w:val="22"/>
                <w:szCs w:val="22"/>
                <w:lang w:eastAsia="en-GB"/>
              </w:rPr>
              <w:t>11.4.</w:t>
            </w:r>
            <w:r w:rsidRPr="00AF6A50">
              <w:rPr>
                <w:rFonts w:ascii="Times New Roman" w:eastAsia="Times New Roman" w:hAnsi="Times New Roman" w:cs="Times New Roman"/>
                <w:color w:val="000000"/>
                <w:sz w:val="22"/>
                <w:szCs w:val="22"/>
                <w:lang w:eastAsia="en-GB"/>
              </w:rPr>
              <w:t>  </w:t>
            </w:r>
            <w:r w:rsidRPr="00AF6A50">
              <w:rPr>
                <w:rFonts w:ascii="Times New Roman" w:eastAsia="Times New Roman" w:hAnsi="Times New Roman" w:cs="Times New Roman"/>
                <w:i/>
                <w:iCs/>
                <w:color w:val="000000"/>
                <w:sz w:val="22"/>
                <w:szCs w:val="22"/>
                <w:lang w:eastAsia="en-GB"/>
              </w:rPr>
              <w:t>Laiku neįvykdęs ar netinkamai įvykdęs įsipareigojimus ir neperdavęs Pirkėjui darbų Pirkimo sutartyje nustatytu terminu, Pirkėjo reikalavimu Tiekėjas moka Pirkėjui 0,02 % dydžio netesybas nuo viso pirkimo vertės už kiekvieną termino praleidimo dieną. Šalys susitaria, kad bendra Tiekėjo mokama netesybų suma už vėlavimą vykdyti įsipareigojimus negali viršyti 5 % nuo Pirkimo sutarties kainos be PVM.</w:t>
            </w:r>
          </w:p>
          <w:p w14:paraId="747A321D" w14:textId="77777777" w:rsidR="00C84D0C" w:rsidRPr="00AF6A50" w:rsidRDefault="00C84D0C" w:rsidP="00C84D0C">
            <w:pPr>
              <w:jc w:val="both"/>
              <w:rPr>
                <w:rFonts w:ascii="Times New Roman" w:eastAsia="Times New Roman" w:hAnsi="Times New Roman" w:cs="Times New Roman"/>
                <w:color w:val="000000"/>
                <w:sz w:val="22"/>
                <w:szCs w:val="22"/>
                <w:lang w:eastAsia="en-GB"/>
              </w:rPr>
            </w:pPr>
          </w:p>
          <w:p w14:paraId="5594DC1B" w14:textId="77777777" w:rsidR="00AD1DAC" w:rsidRPr="00AF6A50" w:rsidRDefault="001741A1" w:rsidP="00C84D0C">
            <w:pPr>
              <w:jc w:val="both"/>
              <w:rPr>
                <w:rFonts w:ascii="Times New Roman" w:eastAsia="Times New Roman" w:hAnsi="Times New Roman" w:cs="Times New Roman"/>
                <w:i/>
                <w:iCs/>
                <w:color w:val="000000"/>
                <w:sz w:val="22"/>
                <w:szCs w:val="22"/>
                <w:lang w:eastAsia="en-GB"/>
              </w:rPr>
            </w:pPr>
            <w:r w:rsidRPr="00AF6A50">
              <w:rPr>
                <w:rFonts w:ascii="Times New Roman" w:eastAsia="Times New Roman" w:hAnsi="Times New Roman" w:cs="Times New Roman"/>
                <w:i/>
                <w:iCs/>
                <w:color w:val="000000"/>
                <w:sz w:val="22"/>
                <w:szCs w:val="22"/>
                <w:lang w:eastAsia="en-GB"/>
              </w:rPr>
              <w:t>11.5.</w:t>
            </w:r>
            <w:r w:rsidRPr="00AF6A50">
              <w:rPr>
                <w:rFonts w:ascii="Times New Roman" w:eastAsia="Times New Roman" w:hAnsi="Times New Roman" w:cs="Times New Roman"/>
                <w:color w:val="000000"/>
                <w:sz w:val="22"/>
                <w:szCs w:val="22"/>
                <w:lang w:eastAsia="en-GB"/>
              </w:rPr>
              <w:t>  </w:t>
            </w:r>
            <w:r w:rsidRPr="00AF6A50">
              <w:rPr>
                <w:rFonts w:ascii="Times New Roman" w:eastAsia="Times New Roman" w:hAnsi="Times New Roman" w:cs="Times New Roman"/>
                <w:i/>
                <w:iCs/>
                <w:color w:val="000000"/>
                <w:sz w:val="22"/>
                <w:szCs w:val="22"/>
                <w:lang w:eastAsia="en-GB"/>
              </w:rPr>
              <w:t>Laiku neįvykdęs ar netinkamai įvykdęs įsipareigojimus Pirkėjas Pirkimo sutartyje nustatytu terminu, Tiekėjo reikalavimu, Pirkėjas moka Tiekėjui 0,02 % dydžio netesybas už nuo netinkamai įvykdytų ar neįvykdytų įsipareigojimų vertės už kiekvieną termino praleidimo dieną. Šalys susitaria, kad bendra mokama netesybų suma už vėlavimą vykdyti įsipareigojimus negali viršyti 5 % nuo Pirkimo sutarties kainos be PVM.</w:t>
            </w:r>
          </w:p>
          <w:p w14:paraId="15149DAD" w14:textId="669DFA36" w:rsidR="00C84D0C" w:rsidRPr="00AF6A50" w:rsidRDefault="00C84D0C" w:rsidP="00C84D0C">
            <w:pPr>
              <w:jc w:val="both"/>
              <w:rPr>
                <w:rFonts w:ascii="Times New Roman" w:eastAsia="Times New Roman" w:hAnsi="Times New Roman" w:cs="Times New Roman"/>
                <w:i/>
                <w:iCs/>
                <w:color w:val="000000"/>
                <w:sz w:val="22"/>
                <w:szCs w:val="22"/>
                <w:lang w:eastAsia="en-GB"/>
              </w:rPr>
            </w:pPr>
          </w:p>
        </w:tc>
        <w:tc>
          <w:tcPr>
            <w:tcW w:w="5528" w:type="dxa"/>
          </w:tcPr>
          <w:p w14:paraId="591FDC95" w14:textId="77777777" w:rsidR="00417D0D" w:rsidRPr="00AF6A50" w:rsidRDefault="00E96501" w:rsidP="00417D0D">
            <w:pPr>
              <w:ind w:left="39"/>
              <w:jc w:val="both"/>
              <w:rPr>
                <w:rFonts w:ascii="Times New Roman" w:hAnsi="Times New Roman" w:cs="Times New Roman"/>
                <w:sz w:val="22"/>
                <w:szCs w:val="22"/>
              </w:rPr>
            </w:pPr>
            <w:r w:rsidRPr="00AF6A50">
              <w:rPr>
                <w:rFonts w:ascii="Times New Roman" w:hAnsi="Times New Roman" w:cs="Times New Roman"/>
                <w:sz w:val="22"/>
                <w:szCs w:val="22"/>
              </w:rPr>
              <w:t xml:space="preserve">Dėl baudų nustatymo. </w:t>
            </w:r>
          </w:p>
          <w:p w14:paraId="3142F86D" w14:textId="1538E44C" w:rsidR="00417D0D" w:rsidRPr="00AF6A50" w:rsidRDefault="00E96501" w:rsidP="00417D0D">
            <w:pPr>
              <w:ind w:left="39"/>
              <w:jc w:val="both"/>
              <w:rPr>
                <w:rFonts w:ascii="Times New Roman" w:hAnsi="Times New Roman" w:cs="Times New Roman"/>
                <w:sz w:val="22"/>
                <w:szCs w:val="22"/>
              </w:rPr>
            </w:pPr>
            <w:r w:rsidRPr="00AF6A50">
              <w:rPr>
                <w:rFonts w:ascii="Times New Roman" w:hAnsi="Times New Roman" w:cs="Times New Roman"/>
                <w:sz w:val="22"/>
                <w:szCs w:val="22"/>
              </w:rPr>
              <w:t xml:space="preserve">Paaiškiname, kad 11.3 punkte yra nustatyta konkreti bauda, jei Tiekėjas vėluoja </w:t>
            </w:r>
            <w:r w:rsidR="00417D0D" w:rsidRPr="00AF6A50">
              <w:rPr>
                <w:rFonts w:ascii="Times New Roman" w:hAnsi="Times New Roman" w:cs="Times New Roman"/>
                <w:sz w:val="22"/>
                <w:szCs w:val="22"/>
              </w:rPr>
              <w:t>įgyvendinti sutart</w:t>
            </w:r>
            <w:r w:rsidR="00FC0275" w:rsidRPr="00AF6A50">
              <w:rPr>
                <w:rFonts w:ascii="Times New Roman" w:hAnsi="Times New Roman" w:cs="Times New Roman"/>
                <w:sz w:val="22"/>
                <w:szCs w:val="22"/>
              </w:rPr>
              <w:t>inius įsipareigojimus</w:t>
            </w:r>
            <w:r w:rsidR="00417D0D" w:rsidRPr="00AF6A50">
              <w:rPr>
                <w:rFonts w:ascii="Times New Roman" w:hAnsi="Times New Roman" w:cs="Times New Roman"/>
                <w:sz w:val="22"/>
                <w:szCs w:val="22"/>
              </w:rPr>
              <w:t xml:space="preserve"> mėnesį (-</w:t>
            </w:r>
            <w:proofErr w:type="spellStart"/>
            <w:r w:rsidR="00417D0D" w:rsidRPr="00AF6A50">
              <w:rPr>
                <w:rFonts w:ascii="Times New Roman" w:hAnsi="Times New Roman" w:cs="Times New Roman"/>
                <w:sz w:val="22"/>
                <w:szCs w:val="22"/>
              </w:rPr>
              <w:t>iais</w:t>
            </w:r>
            <w:proofErr w:type="spellEnd"/>
            <w:r w:rsidR="00417D0D" w:rsidRPr="00AF6A50">
              <w:rPr>
                <w:rFonts w:ascii="Times New Roman" w:hAnsi="Times New Roman" w:cs="Times New Roman"/>
                <w:sz w:val="22"/>
                <w:szCs w:val="22"/>
              </w:rPr>
              <w:t>). Jei vėluojama įgyvendinti sutartį mėnesį (-</w:t>
            </w:r>
            <w:proofErr w:type="spellStart"/>
            <w:r w:rsidR="00417D0D" w:rsidRPr="00AF6A50">
              <w:rPr>
                <w:rFonts w:ascii="Times New Roman" w:hAnsi="Times New Roman" w:cs="Times New Roman"/>
                <w:sz w:val="22"/>
                <w:szCs w:val="22"/>
              </w:rPr>
              <w:t>iais</w:t>
            </w:r>
            <w:proofErr w:type="spellEnd"/>
            <w:r w:rsidR="00417D0D" w:rsidRPr="00AF6A50">
              <w:rPr>
                <w:rFonts w:ascii="Times New Roman" w:hAnsi="Times New Roman" w:cs="Times New Roman"/>
                <w:sz w:val="22"/>
                <w:szCs w:val="22"/>
              </w:rPr>
              <w:t xml:space="preserve">), tuo atveju bus taikoma bauda. </w:t>
            </w:r>
          </w:p>
          <w:p w14:paraId="3BF1D3D5" w14:textId="37994F9D" w:rsidR="001741A1" w:rsidRPr="00AF6A50" w:rsidRDefault="00417D0D" w:rsidP="00417D0D">
            <w:pPr>
              <w:ind w:left="39"/>
              <w:jc w:val="both"/>
              <w:rPr>
                <w:rFonts w:ascii="Times New Roman" w:hAnsi="Times New Roman" w:cs="Times New Roman"/>
                <w:sz w:val="22"/>
                <w:szCs w:val="22"/>
              </w:rPr>
            </w:pPr>
            <w:r w:rsidRPr="00AF6A50">
              <w:rPr>
                <w:rFonts w:ascii="Times New Roman" w:hAnsi="Times New Roman" w:cs="Times New Roman"/>
                <w:sz w:val="22"/>
                <w:szCs w:val="22"/>
              </w:rPr>
              <w:t>Jei Tiekėjas vėluos įgyvendinti sutartį dienomis, tada bus skaičiuojami delspinigiai.</w:t>
            </w:r>
          </w:p>
          <w:p w14:paraId="7DA69660" w14:textId="678F043E" w:rsidR="00417D0D" w:rsidRPr="00AF6A50" w:rsidRDefault="00417D0D" w:rsidP="00417D0D">
            <w:pPr>
              <w:ind w:left="39"/>
              <w:jc w:val="both"/>
              <w:rPr>
                <w:rFonts w:ascii="Times New Roman" w:eastAsia="Times New Roman" w:hAnsi="Times New Roman" w:cs="Times New Roman"/>
                <w:i/>
                <w:iCs/>
                <w:color w:val="000000"/>
                <w:sz w:val="22"/>
                <w:szCs w:val="22"/>
                <w:lang w:eastAsia="en-GB"/>
              </w:rPr>
            </w:pPr>
            <w:r w:rsidRPr="00AF6A50">
              <w:rPr>
                <w:rFonts w:ascii="Times New Roman" w:hAnsi="Times New Roman" w:cs="Times New Roman"/>
                <w:sz w:val="22"/>
                <w:szCs w:val="22"/>
              </w:rPr>
              <w:t xml:space="preserve">Atkreipiame dėmesį, kad Sutarties 11.4 punkte yra nustatyta netesybų riba: /.../ </w:t>
            </w:r>
            <w:r w:rsidRPr="00AF6A50">
              <w:rPr>
                <w:rFonts w:ascii="Times New Roman" w:eastAsia="Times New Roman" w:hAnsi="Times New Roman" w:cs="Times New Roman"/>
                <w:i/>
                <w:iCs/>
                <w:color w:val="000000"/>
                <w:sz w:val="22"/>
                <w:szCs w:val="22"/>
                <w:lang w:eastAsia="en-GB"/>
              </w:rPr>
              <w:t xml:space="preserve">Šalys susitaria, kad bendra Tiekėjo mokama netesybų suma už vėlavimą vykdyti įsipareigojimus negali viršyti 5% nuo Pirkimo sutarties kainos be PVM.“. </w:t>
            </w:r>
          </w:p>
          <w:p w14:paraId="52F1B503" w14:textId="0FACC358" w:rsidR="00417D0D" w:rsidRPr="00AF6A50" w:rsidRDefault="00417D0D" w:rsidP="00417D0D">
            <w:pPr>
              <w:jc w:val="both"/>
              <w:rPr>
                <w:rFonts w:ascii="Times New Roman" w:hAnsi="Times New Roman" w:cs="Times New Roman"/>
                <w:sz w:val="22"/>
                <w:szCs w:val="22"/>
              </w:rPr>
            </w:pPr>
            <w:r w:rsidRPr="00AF6A50">
              <w:rPr>
                <w:rFonts w:ascii="Times New Roman" w:hAnsi="Times New Roman" w:cs="Times New Roman"/>
                <w:sz w:val="22"/>
                <w:szCs w:val="22"/>
              </w:rPr>
              <w:t>Atsižvelgiant į tai, laikytina, kad tokio dydžio nustatytos netesybos nėra laikomos neproporcingomis.</w:t>
            </w:r>
          </w:p>
        </w:tc>
      </w:tr>
    </w:tbl>
    <w:p w14:paraId="066A4CFD" w14:textId="77777777" w:rsidR="00B13139" w:rsidRPr="00AF6A50" w:rsidRDefault="00B13139" w:rsidP="00AD1DAC">
      <w:pPr>
        <w:rPr>
          <w:rFonts w:ascii="Times New Roman" w:hAnsi="Times New Roman" w:cs="Times New Roman"/>
          <w:sz w:val="22"/>
          <w:szCs w:val="22"/>
        </w:rPr>
      </w:pPr>
    </w:p>
    <w:sectPr w:rsidR="00B13139" w:rsidRPr="00AF6A50" w:rsidSect="00C84D0C">
      <w:pgSz w:w="11906" w:h="16838"/>
      <w:pgMar w:top="1440" w:right="1440" w:bottom="121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66D04"/>
    <w:multiLevelType w:val="hybridMultilevel"/>
    <w:tmpl w:val="7904F1C8"/>
    <w:lvl w:ilvl="0" w:tplc="AA9EFE0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DD0E76"/>
    <w:multiLevelType w:val="multilevel"/>
    <w:tmpl w:val="915E4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5D1167"/>
    <w:multiLevelType w:val="multilevel"/>
    <w:tmpl w:val="C13253A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Zero"/>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 w15:restartNumberingAfterBreak="0">
    <w:nsid w:val="4D516696"/>
    <w:multiLevelType w:val="hybridMultilevel"/>
    <w:tmpl w:val="A086B64E"/>
    <w:lvl w:ilvl="0" w:tplc="59F437EE">
      <w:start w:val="1"/>
      <w:numFmt w:val="decimal"/>
      <w:lvlText w:val="%1."/>
      <w:lvlJc w:val="left"/>
      <w:pPr>
        <w:ind w:left="720" w:hanging="360"/>
      </w:pPr>
      <w:rPr>
        <w:rFonts w:ascii="Times New Roman" w:hAnsi="Times New Roman" w:cs="Times New Roman"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DB507B"/>
    <w:multiLevelType w:val="multilevel"/>
    <w:tmpl w:val="915E4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B41B5F"/>
    <w:multiLevelType w:val="multilevel"/>
    <w:tmpl w:val="915E40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235F90"/>
    <w:multiLevelType w:val="multilevel"/>
    <w:tmpl w:val="A7A295D8"/>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b w:val="0"/>
        <w:bCs/>
        <w:i w:val="0"/>
        <w:iCs/>
        <w:strike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748385495">
    <w:abstractNumId w:val="4"/>
  </w:num>
  <w:num w:numId="2" w16cid:durableId="716779826">
    <w:abstractNumId w:val="5"/>
  </w:num>
  <w:num w:numId="3" w16cid:durableId="1537036747">
    <w:abstractNumId w:val="2"/>
  </w:num>
  <w:num w:numId="4" w16cid:durableId="1235890267">
    <w:abstractNumId w:val="0"/>
  </w:num>
  <w:num w:numId="5" w16cid:durableId="1781685616">
    <w:abstractNumId w:val="1"/>
  </w:num>
  <w:num w:numId="6" w16cid:durableId="126704080">
    <w:abstractNumId w:val="3"/>
  </w:num>
  <w:num w:numId="7" w16cid:durableId="15063642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139"/>
    <w:rsid w:val="000A7989"/>
    <w:rsid w:val="001741A1"/>
    <w:rsid w:val="00417D0D"/>
    <w:rsid w:val="007B2FF7"/>
    <w:rsid w:val="00AD1DAC"/>
    <w:rsid w:val="00AF6A50"/>
    <w:rsid w:val="00B13139"/>
    <w:rsid w:val="00C84D0C"/>
    <w:rsid w:val="00E96501"/>
    <w:rsid w:val="00FC0275"/>
    <w:rsid w:val="00FD5DCB"/>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5AE6774C"/>
  <w15:chartTrackingRefBased/>
  <w15:docId w15:val="{5DFB8D85-A38A-3F44-96B9-97C24B218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13139"/>
  </w:style>
  <w:style w:type="character" w:styleId="Strong">
    <w:name w:val="Strong"/>
    <w:basedOn w:val="DefaultParagraphFont"/>
    <w:uiPriority w:val="22"/>
    <w:qFormat/>
    <w:rsid w:val="00B13139"/>
    <w:rPr>
      <w:b/>
      <w:bCs/>
    </w:rPr>
  </w:style>
  <w:style w:type="character" w:styleId="Hyperlink">
    <w:name w:val="Hyperlink"/>
    <w:basedOn w:val="DefaultParagraphFont"/>
    <w:uiPriority w:val="99"/>
    <w:semiHidden/>
    <w:unhideWhenUsed/>
    <w:rsid w:val="00B13139"/>
    <w:rPr>
      <w:color w:val="0000FF"/>
      <w:u w:val="single"/>
    </w:rPr>
  </w:style>
  <w:style w:type="character" w:customStyle="1" w:styleId="m-1092494900446221169cf01">
    <w:name w:val="m_-1092494900446221169cf01"/>
    <w:basedOn w:val="DefaultParagraphFont"/>
    <w:rsid w:val="00B13139"/>
  </w:style>
  <w:style w:type="paragraph" w:customStyle="1" w:styleId="m-1092494900446221169msolistparagraph">
    <w:name w:val="m_-1092494900446221169msolistparagraph"/>
    <w:basedOn w:val="Normal"/>
    <w:rsid w:val="00B13139"/>
    <w:pPr>
      <w:spacing w:before="100" w:beforeAutospacing="1" w:after="100" w:afterAutospacing="1"/>
    </w:pPr>
    <w:rPr>
      <w:rFonts w:ascii="Times New Roman" w:eastAsia="Times New Roman" w:hAnsi="Times New Roman" w:cs="Times New Roman"/>
      <w:lang w:val="en-LT" w:eastAsia="en-GB"/>
    </w:rPr>
  </w:style>
  <w:style w:type="paragraph" w:customStyle="1" w:styleId="m-1092494900446221169pf0">
    <w:name w:val="m_-1092494900446221169pf0"/>
    <w:basedOn w:val="Normal"/>
    <w:rsid w:val="00B13139"/>
    <w:pPr>
      <w:spacing w:before="100" w:beforeAutospacing="1" w:after="100" w:afterAutospacing="1"/>
    </w:pPr>
    <w:rPr>
      <w:rFonts w:ascii="Times New Roman" w:eastAsia="Times New Roman" w:hAnsi="Times New Roman" w:cs="Times New Roman"/>
      <w:lang w:val="en-LT" w:eastAsia="en-GB"/>
    </w:rPr>
  </w:style>
  <w:style w:type="table" w:styleId="TableGrid">
    <w:name w:val="Table Grid"/>
    <w:basedOn w:val="TableNormal"/>
    <w:uiPriority w:val="39"/>
    <w:rsid w:val="007B2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41A1"/>
    <w:pPr>
      <w:ind w:left="720"/>
      <w:contextualSpacing/>
    </w:pPr>
  </w:style>
  <w:style w:type="character" w:styleId="CommentReference">
    <w:name w:val="annotation reference"/>
    <w:basedOn w:val="DefaultParagraphFont"/>
    <w:uiPriority w:val="99"/>
    <w:semiHidden/>
    <w:unhideWhenUsed/>
    <w:rsid w:val="00AD1DAC"/>
    <w:rPr>
      <w:sz w:val="16"/>
      <w:szCs w:val="16"/>
    </w:rPr>
  </w:style>
  <w:style w:type="paragraph" w:styleId="CommentText">
    <w:name w:val="annotation text"/>
    <w:basedOn w:val="Normal"/>
    <w:link w:val="CommentTextChar"/>
    <w:uiPriority w:val="99"/>
    <w:semiHidden/>
    <w:unhideWhenUsed/>
    <w:rsid w:val="00AD1DAC"/>
    <w:rPr>
      <w:sz w:val="20"/>
      <w:szCs w:val="20"/>
    </w:rPr>
  </w:style>
  <w:style w:type="character" w:customStyle="1" w:styleId="CommentTextChar">
    <w:name w:val="Comment Text Char"/>
    <w:basedOn w:val="DefaultParagraphFont"/>
    <w:link w:val="CommentText"/>
    <w:uiPriority w:val="99"/>
    <w:semiHidden/>
    <w:rsid w:val="00AD1DAC"/>
    <w:rPr>
      <w:sz w:val="20"/>
      <w:szCs w:val="20"/>
      <w:lang w:val="lt-LT"/>
    </w:rPr>
  </w:style>
  <w:style w:type="paragraph" w:styleId="CommentSubject">
    <w:name w:val="annotation subject"/>
    <w:basedOn w:val="CommentText"/>
    <w:next w:val="CommentText"/>
    <w:link w:val="CommentSubjectChar"/>
    <w:uiPriority w:val="99"/>
    <w:semiHidden/>
    <w:unhideWhenUsed/>
    <w:rsid w:val="00AD1DAC"/>
    <w:rPr>
      <w:b/>
      <w:bCs/>
    </w:rPr>
  </w:style>
  <w:style w:type="character" w:customStyle="1" w:styleId="CommentSubjectChar">
    <w:name w:val="Comment Subject Char"/>
    <w:basedOn w:val="CommentTextChar"/>
    <w:link w:val="CommentSubject"/>
    <w:uiPriority w:val="99"/>
    <w:semiHidden/>
    <w:rsid w:val="00AD1DAC"/>
    <w:rPr>
      <w:b/>
      <w:bCs/>
      <w:sz w:val="20"/>
      <w:szCs w:val="20"/>
      <w:lang w:val="lt-LT"/>
    </w:rPr>
  </w:style>
  <w:style w:type="paragraph" w:customStyle="1" w:styleId="linija">
    <w:name w:val="linija"/>
    <w:basedOn w:val="Normal"/>
    <w:rsid w:val="00AF6A50"/>
    <w:pPr>
      <w:spacing w:before="100" w:beforeAutospacing="1" w:after="100" w:afterAutospacing="1"/>
    </w:pPr>
    <w:rPr>
      <w:rFonts w:ascii="Times New Roman" w:eastAsia="Times New Roman" w:hAnsi="Times New Roman" w:cs="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708617">
      <w:bodyDiv w:val="1"/>
      <w:marLeft w:val="0"/>
      <w:marRight w:val="0"/>
      <w:marTop w:val="0"/>
      <w:marBottom w:val="0"/>
      <w:divBdr>
        <w:top w:val="none" w:sz="0" w:space="0" w:color="auto"/>
        <w:left w:val="none" w:sz="0" w:space="0" w:color="auto"/>
        <w:bottom w:val="none" w:sz="0" w:space="0" w:color="auto"/>
        <w:right w:val="none" w:sz="0" w:space="0" w:color="auto"/>
      </w:divBdr>
      <w:divsChild>
        <w:div w:id="1777288309">
          <w:marLeft w:val="0"/>
          <w:marRight w:val="0"/>
          <w:marTop w:val="0"/>
          <w:marBottom w:val="0"/>
          <w:divBdr>
            <w:top w:val="none" w:sz="0" w:space="0" w:color="auto"/>
            <w:left w:val="none" w:sz="0" w:space="0" w:color="auto"/>
            <w:bottom w:val="none" w:sz="0" w:space="0" w:color="auto"/>
            <w:right w:val="none" w:sz="0" w:space="0" w:color="auto"/>
          </w:divBdr>
        </w:div>
        <w:div w:id="468472809">
          <w:marLeft w:val="0"/>
          <w:marRight w:val="0"/>
          <w:marTop w:val="0"/>
          <w:marBottom w:val="0"/>
          <w:divBdr>
            <w:top w:val="none" w:sz="0" w:space="0" w:color="auto"/>
            <w:left w:val="none" w:sz="0" w:space="0" w:color="auto"/>
            <w:bottom w:val="none" w:sz="0" w:space="0" w:color="auto"/>
            <w:right w:val="none" w:sz="0" w:space="0" w:color="auto"/>
          </w:divBdr>
          <w:divsChild>
            <w:div w:id="194974572">
              <w:marLeft w:val="0"/>
              <w:marRight w:val="0"/>
              <w:marTop w:val="0"/>
              <w:marBottom w:val="0"/>
              <w:divBdr>
                <w:top w:val="none" w:sz="0" w:space="0" w:color="auto"/>
                <w:left w:val="none" w:sz="0" w:space="0" w:color="auto"/>
                <w:bottom w:val="none" w:sz="0" w:space="0" w:color="auto"/>
                <w:right w:val="none" w:sz="0" w:space="0" w:color="auto"/>
              </w:divBdr>
              <w:divsChild>
                <w:div w:id="134003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drozl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drozle.lt" TargetMode="External"/><Relationship Id="rId5" Type="http://schemas.openxmlformats.org/officeDocument/2006/relationships/hyperlink" Target="mailto:info@drozle.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Juškaitienė</dc:creator>
  <cp:keywords/>
  <dc:description/>
  <cp:lastModifiedBy>Ingrida Juškaitienė</cp:lastModifiedBy>
  <cp:revision>6</cp:revision>
  <dcterms:created xsi:type="dcterms:W3CDTF">2023-03-07T12:46:00Z</dcterms:created>
  <dcterms:modified xsi:type="dcterms:W3CDTF">2023-03-17T14:40:00Z</dcterms:modified>
</cp:coreProperties>
</file>